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spacing w:line="240" w:lineRule="auto"/>
        <w:ind w:firstLine="680"/>
        <w:jc w:val="both"/>
        <w:rPr>
          <w:rFonts w:ascii="Times New Roman" w:hAnsi="Times New Roman"/>
          <w:b w:val="1"/>
        </w:rPr>
      </w:pPr>
      <w:r>
        <w:rPr>
          <w:rFonts w:ascii="Times New Roman" w:hAnsi="Times New Roman"/>
          <w:b w:val="1"/>
        </w:rPr>
        <w:t>Начальник управления по надзору за исполнением федерального законодательства прокуратуры Ленинградской области Егоров М.А. разъясняет:</w:t>
      </w:r>
    </w:p>
    <w:p w14:paraId="02000000">
      <w:pPr>
        <w:pStyle w:val="Style_1"/>
        <w:spacing w:line="240" w:lineRule="auto"/>
        <w:ind w:firstLine="680"/>
        <w:jc w:val="both"/>
        <w:rPr>
          <w:rFonts w:ascii="Times New Roman" w:hAnsi="Times New Roman"/>
        </w:rPr>
      </w:pPr>
    </w:p>
    <w:p w14:paraId="03000000">
      <w:pPr>
        <w:pStyle w:val="Style_1"/>
        <w:spacing w:line="240" w:lineRule="auto"/>
        <w:ind w:firstLine="680"/>
        <w:jc w:val="both"/>
        <w:rPr>
          <w:rFonts w:ascii="Times New Roman" w:hAnsi="Times New Roman"/>
          <w:b w:val="1"/>
        </w:rPr>
      </w:pPr>
      <w:r>
        <w:rPr>
          <w:rFonts w:ascii="Times New Roman" w:hAnsi="Times New Roman"/>
          <w:b w:val="1"/>
        </w:rPr>
        <w:t>Изменения в потребительском законодательстве</w:t>
      </w:r>
      <w:r>
        <w:rPr>
          <w:rFonts w:ascii="Times New Roman" w:hAnsi="Times New Roman"/>
          <w:b w:val="0"/>
        </w:rPr>
        <w:t xml:space="preserve">. </w:t>
      </w:r>
    </w:p>
    <w:p w14:paraId="04000000">
      <w:pPr>
        <w:pStyle w:val="Style_1"/>
        <w:spacing w:line="240" w:lineRule="auto"/>
        <w:ind w:firstLine="680"/>
        <w:jc w:val="both"/>
        <w:rPr>
          <w:rFonts w:ascii="Times New Roman" w:hAnsi="Times New Roman"/>
          <w:b w:val="1"/>
        </w:rPr>
      </w:pPr>
      <w:r>
        <w:rPr>
          <w:rFonts w:ascii="Times New Roman" w:hAnsi="Times New Roman"/>
          <w:b w:val="0"/>
        </w:rPr>
        <w:t xml:space="preserve">Запрет навязывания услуг </w:t>
      </w:r>
    </w:p>
    <w:p w14:paraId="05000000">
      <w:pPr>
        <w:pStyle w:val="Style_1"/>
        <w:spacing w:line="240" w:lineRule="auto"/>
        <w:ind w:firstLine="680"/>
        <w:jc w:val="both"/>
        <w:rPr>
          <w:rFonts w:ascii="Times New Roman" w:hAnsi="Times New Roman"/>
          <w:b w:val="1"/>
        </w:rPr>
      </w:pPr>
      <w:r>
        <w:rPr>
          <w:rFonts w:ascii="Times New Roman" w:hAnsi="Times New Roman"/>
        </w:rPr>
        <w:t xml:space="preserve">Согласно Федеральному закону «О защите прав потребителей» продавцы больше не могут навязывать дополнительные платные опции через заранее проставленные галочки или молчание покупателя. Согласие потребителя на любую дополнительную услугу теперь должно быть оформлено письменно, а бремя доказывания лежит на продавце. </w:t>
      </w:r>
      <w:r>
        <w:rPr>
          <w:rFonts w:ascii="Times New Roman" w:hAnsi="Times New Roman"/>
        </w:rPr>
        <w:t xml:space="preserve">Если дополнительную услугу все же навязали, потребитель вправе потребовать возврата денег. </w:t>
      </w:r>
    </w:p>
    <w:p w14:paraId="06000000">
      <w:pPr>
        <w:pStyle w:val="Style_1"/>
        <w:spacing w:line="240" w:lineRule="auto"/>
        <w:ind w:firstLine="680"/>
        <w:jc w:val="both"/>
        <w:rPr>
          <w:rFonts w:ascii="Times New Roman" w:hAnsi="Times New Roman"/>
          <w:b w:val="1"/>
        </w:rPr>
      </w:pPr>
      <w:r>
        <w:rPr>
          <w:rFonts w:ascii="Times New Roman" w:hAnsi="Times New Roman"/>
        </w:rPr>
        <w:t xml:space="preserve">Регулирование автосписаний </w:t>
      </w:r>
    </w:p>
    <w:p w14:paraId="07000000">
      <w:pPr>
        <w:pStyle w:val="Style_1"/>
        <w:spacing w:line="240" w:lineRule="auto"/>
        <w:ind w:firstLine="680"/>
        <w:jc w:val="both"/>
        <w:rPr>
          <w:rFonts w:ascii="Times New Roman" w:hAnsi="Times New Roman"/>
          <w:b w:val="1"/>
        </w:rPr>
      </w:pPr>
      <w:r>
        <w:rPr>
          <w:rFonts w:ascii="Times New Roman" w:hAnsi="Times New Roman"/>
        </w:rPr>
        <w:t xml:space="preserve">С 1 марта 2026 года продавцам цифровых подписок запрещено использовать реквизиты банковских карт, которые покупатель ранее предоставлял сервису, для последующих платежей. </w:t>
      </w:r>
      <w:r>
        <w:rPr>
          <w:rFonts w:ascii="Times New Roman" w:hAnsi="Times New Roman"/>
        </w:rPr>
        <w:t xml:space="preserve">В случае удаления потребителем данных своей карты из личного кабинета, платформа больше не сможет списать с нее средства. </w:t>
      </w:r>
    </w:p>
    <w:p w14:paraId="08000000">
      <w:pPr>
        <w:pStyle w:val="Style_1"/>
        <w:spacing w:line="240" w:lineRule="auto"/>
        <w:ind w:firstLine="680"/>
        <w:jc w:val="both"/>
        <w:rPr>
          <w:rFonts w:ascii="Times New Roman" w:hAnsi="Times New Roman"/>
          <w:b w:val="1"/>
        </w:rPr>
      </w:pPr>
      <w:r>
        <w:rPr>
          <w:rFonts w:ascii="Times New Roman" w:hAnsi="Times New Roman"/>
        </w:rPr>
        <w:t xml:space="preserve">Регулирование потребительской рассрочки </w:t>
      </w:r>
    </w:p>
    <w:p w14:paraId="09000000">
      <w:pPr>
        <w:pStyle w:val="Style_1"/>
        <w:spacing w:line="240" w:lineRule="auto"/>
        <w:ind w:firstLine="680"/>
        <w:jc w:val="both"/>
        <w:rPr>
          <w:rFonts w:ascii="Times New Roman" w:hAnsi="Times New Roman"/>
          <w:b w:val="1"/>
        </w:rPr>
      </w:pPr>
      <w:r>
        <w:rPr>
          <w:rFonts w:ascii="Times New Roman" w:hAnsi="Times New Roman"/>
        </w:rPr>
        <w:t xml:space="preserve">С 1 апреля 2026 года вводится запрет продавцам устанавливать разные цены на один и тот же товар в зависимости от формы оплаты (сразу или в рассрочку). </w:t>
      </w:r>
      <w:r>
        <w:rPr>
          <w:rFonts w:ascii="Times New Roman" w:hAnsi="Times New Roman"/>
        </w:rPr>
        <w:tab/>
      </w:r>
      <w:r>
        <w:rPr>
          <w:rFonts w:ascii="Times New Roman" w:hAnsi="Times New Roman"/>
        </w:rPr>
        <w:t xml:space="preserve">Предоставлять сервис рассрочки смогут только операторы из реестра Банка России: банки, микрофинансовые организации и иные включенные организации. </w:t>
      </w:r>
      <w:r>
        <w:rPr>
          <w:rFonts w:ascii="Times New Roman" w:hAnsi="Times New Roman"/>
        </w:rPr>
        <w:tab/>
      </w:r>
      <w:r>
        <w:rPr>
          <w:rFonts w:ascii="Times New Roman" w:hAnsi="Times New Roman"/>
        </w:rPr>
        <w:t xml:space="preserve">Изменения при получении микрозайма </w:t>
      </w:r>
    </w:p>
    <w:p w14:paraId="0A000000">
      <w:pPr>
        <w:pStyle w:val="Style_1"/>
        <w:spacing w:line="240" w:lineRule="auto"/>
        <w:ind w:firstLine="680"/>
        <w:jc w:val="both"/>
        <w:rPr>
          <w:rFonts w:ascii="Times New Roman" w:hAnsi="Times New Roman"/>
          <w:b w:val="1"/>
        </w:rPr>
      </w:pPr>
      <w:r>
        <w:rPr>
          <w:rFonts w:ascii="Times New Roman" w:hAnsi="Times New Roman"/>
        </w:rPr>
        <w:t>С 1 марта 2026 года микрофинансовые компании будут обязаны идентифицировать заемщиков с помощью биометрических данных, если те хотят получить средства онлайн. Если на момент подачи заявки на оформление займа у потенциального клиента не будет сдана биометрия определенного вида, МФК не сможет выдать ему денежные  средства. При оформлении микрозайма офлайн биометрия не потребуется</w:t>
      </w:r>
    </w:p>
    <w:p w14:paraId="0B000000">
      <w:pPr>
        <w:pStyle w:val="Style_1"/>
        <w:spacing w:line="240" w:lineRule="auto"/>
        <w:ind w:firstLine="680"/>
        <w:jc w:val="both"/>
        <w:rPr>
          <w:rFonts w:ascii="Times New Roman" w:hAnsi="Times New Roman"/>
        </w:rPr>
      </w:pPr>
    </w:p>
    <w:p w14:paraId="0C000000">
      <w:pPr>
        <w:pStyle w:val="Style_1"/>
        <w:spacing w:line="240" w:lineRule="auto"/>
        <w:ind w:firstLine="680"/>
        <w:jc w:val="both"/>
        <w:rPr>
          <w:rFonts w:ascii="Times New Roman" w:hAnsi="Times New Roman"/>
        </w:rPr>
      </w:pPr>
    </w:p>
    <w:p w14:paraId="0D000000">
      <w:pPr>
        <w:pStyle w:val="Style_1"/>
        <w:spacing w:line="240" w:lineRule="auto"/>
        <w:ind w:firstLine="680"/>
        <w:jc w:val="both"/>
        <w:rPr>
          <w:rFonts w:ascii="Times New Roman" w:hAnsi="Times New Roman"/>
          <w:b w:val="1"/>
        </w:rPr>
      </w:pPr>
    </w:p>
    <w:p w14:paraId="0E000000">
      <w:pPr>
        <w:pStyle w:val="Style_1"/>
        <w:spacing w:line="240" w:lineRule="auto"/>
        <w:ind w:firstLine="680"/>
        <w:jc w:val="both"/>
        <w:rPr>
          <w:rFonts w:ascii="Times New Roman" w:hAnsi="Times New Roman"/>
          <w:b w:val="1"/>
        </w:rPr>
      </w:pPr>
      <w:r>
        <w:rPr>
          <w:rFonts w:ascii="Times New Roman" w:hAnsi="Times New Roman"/>
          <w:b w:val="1"/>
        </w:rPr>
        <w:t>Отдел по надзору за исполнением законодательства о противодействии коррупции прокуратуры Ленинградской области разъясняет</w:t>
      </w:r>
    </w:p>
    <w:p w14:paraId="0F000000">
      <w:pPr>
        <w:pStyle w:val="Style_1"/>
        <w:spacing w:line="240" w:lineRule="auto"/>
        <w:ind w:firstLine="680"/>
        <w:jc w:val="both"/>
        <w:rPr>
          <w:rFonts w:ascii="Times New Roman" w:hAnsi="Times New Roman"/>
        </w:rPr>
      </w:pPr>
    </w:p>
    <w:p w14:paraId="10000000">
      <w:pPr>
        <w:pStyle w:val="Style_1"/>
        <w:spacing w:line="240" w:lineRule="auto"/>
        <w:ind w:firstLine="680"/>
        <w:jc w:val="both"/>
        <w:rPr>
          <w:rFonts w:ascii="Times New Roman" w:hAnsi="Times New Roman"/>
          <w:b w:val="1"/>
        </w:rPr>
      </w:pPr>
      <w:r>
        <w:rPr>
          <w:rFonts w:ascii="Times New Roman" w:hAnsi="Times New Roman"/>
          <w:b w:val="1"/>
        </w:rPr>
        <w:t xml:space="preserve">«Последствия «покупки» водительского удостоверения» </w:t>
      </w:r>
    </w:p>
    <w:p w14:paraId="11000000">
      <w:pPr>
        <w:pStyle w:val="Style_1"/>
        <w:spacing w:line="240" w:lineRule="auto"/>
        <w:ind w:firstLine="680"/>
        <w:jc w:val="both"/>
        <w:rPr>
          <w:rFonts w:ascii="Times New Roman" w:hAnsi="Times New Roman"/>
        </w:rPr>
      </w:pPr>
      <w:r>
        <w:rPr>
          <w:rFonts w:ascii="Times New Roman" w:hAnsi="Times New Roman"/>
        </w:rPr>
        <w:t>За последние два года правоохранительными органами региона выявлено свыше 50 фактов дачи (получения) взятки за содействие в успешной сдаче экзаменов на право управления транспортными средствами и получение водительского удостоверения.</w:t>
      </w:r>
    </w:p>
    <w:p w14:paraId="12000000">
      <w:pPr>
        <w:pStyle w:val="Style_1"/>
        <w:spacing w:line="240" w:lineRule="auto"/>
        <w:ind w:firstLine="680"/>
        <w:jc w:val="both"/>
        <w:rPr>
          <w:rFonts w:ascii="Times New Roman" w:hAnsi="Times New Roman"/>
        </w:rPr>
      </w:pPr>
      <w:r>
        <w:rPr>
          <w:rFonts w:ascii="Times New Roman" w:hAnsi="Times New Roman"/>
        </w:rPr>
        <w:t xml:space="preserve"> По обвинению в совершении указанных преступлений в суд направлено более 30 уголовных дел в отношении граждан - кандидатов в водители, а также должностных лиц специализированных подразделений МВД России по г. Санкт-Петербургу и Ленинградской области. </w:t>
      </w:r>
    </w:p>
    <w:p w14:paraId="13000000">
      <w:pPr>
        <w:pStyle w:val="Style_1"/>
        <w:spacing w:line="240" w:lineRule="auto"/>
        <w:ind w:firstLine="680"/>
        <w:jc w:val="both"/>
        <w:rPr>
          <w:rFonts w:ascii="Times New Roman" w:hAnsi="Times New Roman"/>
        </w:rPr>
      </w:pPr>
      <w:r>
        <w:rPr>
          <w:rFonts w:ascii="Times New Roman" w:hAnsi="Times New Roman"/>
        </w:rPr>
        <w:t>Совершенные преступления являются коррупционными, представляют повышенную общественную опасность, поскольку подрывают авторитет системы государственных органов исполнительной власти в сфере безопасности дорожного движения и нарушают положения нормативно-правовых актов Российской Федерации.</w:t>
      </w:r>
    </w:p>
    <w:p w14:paraId="14000000">
      <w:pPr>
        <w:pStyle w:val="Style_1"/>
        <w:spacing w:line="240" w:lineRule="auto"/>
        <w:ind w:firstLine="680"/>
        <w:jc w:val="both"/>
        <w:rPr>
          <w:rFonts w:ascii="Times New Roman" w:hAnsi="Times New Roman"/>
        </w:rPr>
      </w:pPr>
      <w:r>
        <w:rPr>
          <w:rFonts w:ascii="Times New Roman" w:hAnsi="Times New Roman"/>
        </w:rPr>
        <w:t xml:space="preserve"> Общественная опасность таких преступлений обусловлена также тем, что гражданами передавались денежные средства (взятки) для получения водительских удостоверений без надлежащей фактической проверки теоретических знаний правил дорожного движения и практических навыков управления транспортным средством. </w:t>
      </w:r>
    </w:p>
    <w:p w14:paraId="15000000">
      <w:pPr>
        <w:pStyle w:val="Style_1"/>
        <w:spacing w:line="240" w:lineRule="auto"/>
        <w:ind w:firstLine="680"/>
        <w:jc w:val="both"/>
        <w:rPr>
          <w:rFonts w:ascii="Times New Roman" w:hAnsi="Times New Roman"/>
        </w:rPr>
      </w:pPr>
      <w:r>
        <w:rPr>
          <w:rFonts w:ascii="Times New Roman" w:hAnsi="Times New Roman"/>
        </w:rPr>
        <w:t>Необоснованное получение кандидатами водительских удостоверений, их допуск к управлению транспортными средствами, являющимися источником повышенной опасности, создают угрозу жизни, здоровью и имуществу неопределенного круга лиц из числа участников дорожного движения. Д</w:t>
      </w:r>
    </w:p>
    <w:p w14:paraId="16000000">
      <w:pPr>
        <w:pStyle w:val="Style_1"/>
        <w:spacing w:line="240" w:lineRule="auto"/>
        <w:ind w:firstLine="680"/>
        <w:jc w:val="both"/>
        <w:rPr>
          <w:rFonts w:ascii="Times New Roman" w:hAnsi="Times New Roman"/>
        </w:rPr>
      </w:pPr>
      <w:r>
        <w:rPr>
          <w:rFonts w:ascii="Times New Roman" w:hAnsi="Times New Roman"/>
        </w:rPr>
        <w:t>ача взятки является уголовно-наказуемым деянием и в зависимости от ее суммы действия взяткодателя подлежат уголовной ответственности по статьям 291 и 291.2 Уголовного кодекса Российской Федерации, наказание за совершение которых предусмотрено, в том числе, в виде лишения свободы на срок от одного года до пятнадцати лет.</w:t>
      </w:r>
    </w:p>
    <w:p w14:paraId="17000000">
      <w:pPr>
        <w:pStyle w:val="Style_1"/>
        <w:spacing w:line="240" w:lineRule="auto"/>
        <w:ind w:firstLine="680"/>
        <w:jc w:val="both"/>
        <w:rPr>
          <w:rFonts w:ascii="Times New Roman" w:hAnsi="Times New Roman"/>
        </w:rPr>
      </w:pPr>
      <w:r>
        <w:rPr>
          <w:rFonts w:ascii="Times New Roman" w:hAnsi="Times New Roman"/>
        </w:rPr>
        <w:t xml:space="preserve"> Одновременно с этим, полученные «за деньги» водительские удостоверения подлежат аннулированию. Так, в 2025 году судами области удовлетворено 12 административных исковых заявлений прокуроров, водительские удостоверения граждан, полученные за взятки, признаны недействительными, действие права на управление транспортными средствами взяткодателей прекращено. </w:t>
      </w:r>
    </w:p>
    <w:p w14:paraId="18000000">
      <w:pPr>
        <w:pStyle w:val="Style_1"/>
        <w:spacing w:line="240" w:lineRule="auto"/>
        <w:ind w:firstLine="680"/>
        <w:jc w:val="both"/>
        <w:rPr>
          <w:rFonts w:ascii="Times New Roman" w:hAnsi="Times New Roman"/>
        </w:rPr>
      </w:pPr>
      <w:r>
        <w:rPr>
          <w:rFonts w:ascii="Times New Roman" w:hAnsi="Times New Roman"/>
        </w:rPr>
        <w:t>Прокуратура Ленинградской области напоминает о недопустимости коррупционных проявлений и неотвратимости наступления предусмотренной законом ответственности за их совершение.</w:t>
      </w:r>
    </w:p>
    <w:sectPr>
      <w:pgSz w:h="16838" w:orient="portrait" w:w="11906"/>
      <w:pgMar w:bottom="1134" w:left="1304" w:right="73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2026-06-09T12:34:54Z</dcterms:created>
  <dcterms:modified xsi:type="dcterms:W3CDTF">2026-06-09T12:34:54Z</dcterms:modified>
</cp:coreProperties>
</file>