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</w:rPr>
              <w:t xml:space="preserve">КонсультантПлюс | Готовое решение | </w:t>
            </w:r>
            <w:r>
              <w:rPr>
                <w:sz w:val="20"/>
                <w:color w:val="392c69"/>
                <w:b w:val="on"/>
              </w:rPr>
              <w:t xml:space="preserve">Актуально на 11.02.2026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60" w:lineRule="auto"/>
      </w:pPr>
      <w:r>
        <w:rPr>
          <w:sz w:val="36"/>
          <w:b w:val="on"/>
        </w:rPr>
        <w:t xml:space="preserve">Какие налоговые льготы предусмотрены для поддержки малого предпринимательства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Субъекты малого предпринимательства с основным видом деятельности по предоставлению продуктов питания и напитков, занимающиеся </w:t>
      </w:r>
      <w:hyperlink w:history="0"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обрабатывающим производством</w:t>
        </w:r>
      </w:hyperlink>
      <w:r>
        <w:rPr>
          <w:sz w:val="20"/>
        </w:rPr>
        <w:t xml:space="preserve">, а также деятельности из </w:t>
      </w:r>
      <w:hyperlink w:history="0" r:id="rId9" w:tooltip="Распоряжение Правительства РФ от 27.12.2025 N 4125-р &lt;Об утверждении Перечня видов экономической деятельности Общероссийского классификатора видов экономической деятельности для целей применения единого пониженного тарифа страховых взносов&g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, утвержденного Распоряжением Правительства РФ от 27.12.2025 N 4125-р, применяют единые </w:t>
      </w:r>
      <w:r>
        <w:rPr>
          <w:sz w:val="20"/>
        </w:rPr>
        <w:t xml:space="preserve">пониженные тарифы</w:t>
      </w:r>
      <w:r>
        <w:rPr>
          <w:sz w:val="20"/>
        </w:rPr>
        <w:t xml:space="preserve"> при исчислении страховых взносов на ОПС, ОМС и на случай ВНиМ. Эти тарифы применяются в отношении определенной части ежемесячных выплат в пользу физических лиц. Для их применения необходимо выполнение установленных для этого условий (</w:t>
      </w:r>
      <w:hyperlink w:history="0" r:id="rId10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пп. 17 п. 1</w:t>
        </w:r>
      </w:hyperlink>
      <w:r>
        <w:rPr>
          <w:sz w:val="20"/>
        </w:rPr>
        <w:t xml:space="preserve">, </w:t>
      </w:r>
      <w:hyperlink w:history="0" r:id="rId11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п. п. 2.4</w:t>
        </w:r>
      </w:hyperlink>
      <w:r>
        <w:rPr>
          <w:sz w:val="20"/>
        </w:rPr>
        <w:t xml:space="preserve">, </w:t>
      </w:r>
      <w:hyperlink w:history="0" r:id="rId12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2.5</w:t>
        </w:r>
      </w:hyperlink>
      <w:r>
        <w:rPr>
          <w:sz w:val="20"/>
        </w:rPr>
        <w:t xml:space="preserve">, </w:t>
      </w:r>
      <w:hyperlink w:history="0" r:id="rId13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14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13.1</w:t>
        </w:r>
      </w:hyperlink>
      <w:r>
        <w:rPr>
          <w:sz w:val="20"/>
        </w:rPr>
        <w:t xml:space="preserve">, </w:t>
      </w:r>
      <w:hyperlink w:history="0" r:id="rId15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13.2</w:t>
        </w:r>
      </w:hyperlink>
      <w:r>
        <w:rPr>
          <w:sz w:val="20"/>
        </w:rPr>
        <w:t xml:space="preserve">, </w:t>
      </w:r>
      <w:hyperlink w:history="0" r:id="rId16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13.3 ст. 427</w:t>
        </w:r>
      </w:hyperlink>
      <w:r>
        <w:rPr>
          <w:sz w:val="20"/>
        </w:rPr>
        <w:t xml:space="preserve"> НК РФ).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Еще одну </w:t>
      </w:r>
      <w:hyperlink w:history="0" r:id="rId17" w:tooltip="Готовое решение: Налоговые льготы (КонсультантПлюс, 2026) {КонсультантПлюс}">
        <w:r>
          <w:rPr>
            <w:sz w:val="20"/>
            <w:color w:val="0000ff"/>
          </w:rPr>
          <w:t xml:space="preserve">льготу</w:t>
        </w:r>
      </w:hyperlink>
      <w:r>
        <w:rPr>
          <w:sz w:val="20"/>
        </w:rPr>
        <w:t xml:space="preserve"> для субъектов малого предпринимательства предусматривает Налоговый </w:t>
      </w:r>
      <w:hyperlink w:history="0" r:id="rId1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РФ по НДС. Операции по выкупу такими субъектами государственного (муниципального) имущества, не закрепленного за государственными (муниципальными) предприятиями, в порядке, предусмотренном Федеральным </w:t>
      </w:r>
      <w:hyperlink w:history="0" r:id="rId19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22.07.2008 N 159-ФЗ, исключены из объектов обложения НДС (</w:t>
      </w:r>
      <w:hyperlink w:history="0" r:id="rId20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пп. 12 п. 2 ст. 146</w:t>
        </w:r>
      </w:hyperlink>
      <w:r>
        <w:rPr>
          <w:sz w:val="20"/>
        </w:rPr>
        <w:t xml:space="preserve"> НК РФ). Поэтому для них стоимость имущества не увеличивается на сумму НДС и им не нужно перечислять этот налог в бюджет в качестве налогового агента (</w:t>
      </w:r>
      <w:hyperlink w:history="0" r:id="rId21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п. 3 ст. 161</w:t>
        </w:r>
      </w:hyperlink>
      <w:r>
        <w:rPr>
          <w:sz w:val="20"/>
        </w:rPr>
        <w:t xml:space="preserve"> НК РФ).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См. также: </w:t>
            </w:r>
            <w:hyperlink w:history="0" r:id="rId23" w:tooltip="Готовое решение: Как налоговому агенту рассчитать НДС с 2026 г. (КонсультантПлюс, 2026) {КонсультантПлюс}">
              <w:r>
                <w:rPr>
                  <w:sz w:val="20"/>
                  <w:color w:val="0000ff"/>
                </w:rPr>
                <w:t xml:space="preserve">Как налоговому агенту рассчитать НДС с 2026 г.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Льготы субъектам малого предпринимательства может устанавливать не только Налоговый кодекс РФ, но и региональное законодательство или нормативные правовые акты представительных органов муниципальных образований, федеральной территории "Сириус" (</w:t>
      </w:r>
      <w:hyperlink w:history="0" r:id="rId2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п. 3 ст. 56</w:t>
        </w:r>
      </w:hyperlink>
      <w:r>
        <w:rPr>
          <w:sz w:val="20"/>
        </w:rPr>
        <w:t xml:space="preserve"> НК РФ). Например, в Москве организации - субъекты малого предпринимательства могут </w:t>
      </w:r>
      <w:hyperlink w:history="0" r:id="rId25" w:tooltip="Готовое решение: Как исчислять и уплачивать налог на имущество организаций в Москве (КонсультантПлюс, 2026) {КонсультантПлюс}">
        <w:r>
          <w:rPr>
            <w:sz w:val="20"/>
            <w:color w:val="0000ff"/>
          </w:rPr>
          <w:t xml:space="preserve">уменьшить</w:t>
        </w:r>
      </w:hyperlink>
      <w:r>
        <w:rPr>
          <w:sz w:val="20"/>
        </w:rPr>
        <w:t xml:space="preserve"> налоговую базу по налогу на имущество при соблюдении определенных условий (</w:t>
      </w:r>
      <w:hyperlink w:history="0" r:id="rId26" w:tooltip="Ссылка на КонсультантПлюс">
        <w:r>
          <w:rPr>
            <w:sz w:val="20"/>
            <w:color w:val="0000ff"/>
          </w:rPr>
          <w:t xml:space="preserve">ч. 1 ст. 4.1</w:t>
        </w:r>
      </w:hyperlink>
      <w:r>
        <w:rPr>
          <w:sz w:val="20"/>
        </w:rPr>
        <w:t xml:space="preserve"> Закона г. Москвы от 05.11.2003 N 64).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Для российских организаций, включенных в </w:t>
      </w:r>
      <w:hyperlink w:history="0" r:id="rId27" w:tooltip="Федеральный закон от 04.08.2023 N 478-ФЗ &quot;О развитии технологических компаний в Российской Федерации&quot; {КонсультантПлюс}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 малых технологических компаний, в 2025 - 2030 гг. субъекты РФ могут устанавливать пониженную ставку по налогу на прибыль (</w:t>
      </w:r>
      <w:hyperlink w:history="0" r:id="rId28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п. 1.8-5 ст. 284</w:t>
        </w:r>
      </w:hyperlink>
      <w:r>
        <w:rPr>
          <w:sz w:val="20"/>
        </w:rPr>
        <w:t xml:space="preserve"> НК РФ). Кроме того, для таких компаний есть </w:t>
      </w:r>
      <w:hyperlink w:history="0" r:id="rId29" w:tooltip="Готовое решение: Какие меры налоговой поддержки при инвестировании в производство и новые технологии введены в рамках налоговой реформы (КонсультантПлюс, 2026) {КонсультантПлюс}">
        <w:r>
          <w:rPr>
            <w:sz w:val="20"/>
            <w:color w:val="0000ff"/>
          </w:rPr>
          <w:t xml:space="preserve">особенности</w:t>
        </w:r>
      </w:hyperlink>
      <w:r>
        <w:rPr>
          <w:sz w:val="20"/>
        </w:rPr>
        <w:t xml:space="preserve">, упрощающие учет расходов на НИОКР (</w:t>
      </w:r>
      <w:hyperlink w:history="0" r:id="rId30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п. п. 7</w:t>
        </w:r>
      </w:hyperlink>
      <w:r>
        <w:rPr>
          <w:sz w:val="20"/>
        </w:rPr>
        <w:t xml:space="preserve">, </w:t>
      </w:r>
      <w:hyperlink w:history="0" r:id="rId31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9 ст. 262</w:t>
        </w:r>
      </w:hyperlink>
      <w:r>
        <w:rPr>
          <w:sz w:val="20"/>
        </w:rPr>
        <w:t xml:space="preserve"> НК РФ).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"/>
              </w:numPr>
            </w:pPr>
            <w:hyperlink w:history="0" r:id="rId32" w:tooltip="Готовое решение: Какие меры налоговой поддержки при инвестировании в производство и новые технологии введены в рамках налоговой реформы (КонсультантПлюс, 2026) {КонсультантПлюс}">
              <w:r>
                <w:rPr>
                  <w:sz w:val="20"/>
                  <w:color w:val="0000ff"/>
                </w:rPr>
                <w:t xml:space="preserve">Пониженная ставка по налогу на прибыль для малых технологических компаний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"/>
              </w:numPr>
            </w:pPr>
            <w:hyperlink w:history="0" r:id="rId33" w:tooltip="Готовое решение: Как применять повышающие коэффициенты к расходам в целях налога на прибыль организаций (КонсультантПлюс, 2026) {КонсультантПлюс}">
              <w:r>
                <w:rPr>
                  <w:sz w:val="20"/>
                  <w:color w:val="0000ff"/>
                </w:rPr>
                <w:t xml:space="preserve">Как применять повышающие коэффициенты к расходам в целях налога на прибыль организаций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Кроме послаблений для малого бизнеса вы можете воспользоваться и другими льготами, которые действуют для организаций и ИП.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См. также: </w:t>
            </w:r>
            <w:hyperlink w:history="0" r:id="rId34" w:tooltip="Готовое решение: Налоговые льготы (КонсультантПлюс, 2026) {КонсультантПлюс}">
              <w:r>
                <w:rPr>
                  <w:sz w:val="20"/>
                  <w:color w:val="0000ff"/>
                </w:rPr>
                <w:t xml:space="preserve">Какие налоговые льготы установлены для организаций и ИП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Отметим, что помимо названных льгот у субъектов малого бизнеса есть возможность применять специальные налоговые режимы. Ограничения, при которых ими можно пользоваться (например, предельное количество работников или размер доходов), как раз и направлены на то, чтобы малые предприятия были в более льготных условиях, чем крупные компании на ОСН.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35" w:tooltip="Готовое решение: Какие специальные налоговые режимы применяют организации (КонсультантПлюс, 2026) {КонсультантПлюс}">
              <w:r>
                <w:rPr>
                  <w:sz w:val="20"/>
                  <w:color w:val="0000ff"/>
                </w:rPr>
                <w:t xml:space="preserve">Какие специальные налоговые режимы применяют организации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36" w:tooltip="Готовое решение: Какие специальные налоговые режимы применяют ИП (КонсультантПлюс, 2026) {КонсультантПлюс}">
              <w:r>
                <w:rPr>
                  <w:sz w:val="20"/>
                  <w:color w:val="0000ff"/>
                </w:rPr>
                <w:t xml:space="preserve">Какие специальные налоговые режимы применяют ИП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Кроме того, впервые зарегистрированные ИП на УСН или ПСН могут воспользоваться </w:t>
      </w:r>
      <w:hyperlink w:history="0" r:id="rId37" w:tooltip="Готовое решение: Налоговые каникулы для ИП на УСН или ПСН (КонсультантПлюс, 2026) {КонсультантПлюс}">
        <w:r>
          <w:rPr>
            <w:sz w:val="20"/>
            <w:color w:val="0000ff"/>
          </w:rPr>
          <w:t xml:space="preserve">налоговыми каникулами</w:t>
        </w:r>
      </w:hyperlink>
      <w:r>
        <w:rPr>
          <w:sz w:val="20"/>
        </w:rPr>
        <w:t xml:space="preserve">, если выполняются условия для этого.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4"/>
      <w:headerReference w:type="first" r:id="rId5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Какие налоговые льготы предусмотрены для поддержки малого предпринимательства</w:t>
            <w:br/>
            <w:t>(КонсультантПлюс, 2026)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Готовое решение: Какие налоговые льготы предусмотрены для поддержки малого предпринимательства (КонсультантПлюс, 2026)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8477&amp;dst=100712" TargetMode = "External"/><Relationship Id="rId9" Type="http://schemas.openxmlformats.org/officeDocument/2006/relationships/hyperlink" Target="https://login.consultant.ru/link/?req=doc&amp;base=LAW&amp;n=523172&amp;dst=100007" TargetMode = "External"/><Relationship Id="rId10" Type="http://schemas.openxmlformats.org/officeDocument/2006/relationships/hyperlink" Target="https://login.consultant.ru/link/?req=doc&amp;base=LAW&amp;n=525528&amp;dst=27038" TargetMode = "External"/><Relationship Id="rId11" Type="http://schemas.openxmlformats.org/officeDocument/2006/relationships/hyperlink" Target="https://login.consultant.ru/link/?req=doc&amp;base=LAW&amp;n=525528&amp;dst=27040" TargetMode = "External"/><Relationship Id="rId12" Type="http://schemas.openxmlformats.org/officeDocument/2006/relationships/hyperlink" Target="https://login.consultant.ru/link/?req=doc&amp;base=LAW&amp;n=525528&amp;dst=27041" TargetMode = "External"/><Relationship Id="rId13" Type="http://schemas.openxmlformats.org/officeDocument/2006/relationships/hyperlink" Target="https://login.consultant.ru/link/?req=doc&amp;base=LAW&amp;n=525528&amp;dst=27273" TargetMode = "External"/><Relationship Id="rId14" Type="http://schemas.openxmlformats.org/officeDocument/2006/relationships/hyperlink" Target="https://login.consultant.ru/link/?req=doc&amp;base=LAW&amp;n=525528&amp;dst=23067" TargetMode = "External"/><Relationship Id="rId15" Type="http://schemas.openxmlformats.org/officeDocument/2006/relationships/hyperlink" Target="https://login.consultant.ru/link/?req=doc&amp;base=LAW&amp;n=525528&amp;dst=26454" TargetMode = "External"/><Relationship Id="rId16" Type="http://schemas.openxmlformats.org/officeDocument/2006/relationships/hyperlink" Target="https://login.consultant.ru/link/?req=doc&amp;base=LAW&amp;n=525528&amp;dst=28443" TargetMode = "External"/><Relationship Id="rId17" Type="http://schemas.openxmlformats.org/officeDocument/2006/relationships/hyperlink" Target="https://login.consultant.ru/link/?req=doc&amp;base=PBI&amp;n=250248&amp;dst=100007" TargetMode = "External"/><Relationship Id="rId18" Type="http://schemas.openxmlformats.org/officeDocument/2006/relationships/hyperlink" Target="https://login.consultant.ru/link/?req=doc&amp;base=LAW&amp;n=495617" TargetMode = "External"/><Relationship Id="rId19" Type="http://schemas.openxmlformats.org/officeDocument/2006/relationships/hyperlink" Target="https://login.consultant.ru/link/?req=doc&amp;base=LAW&amp;n=474028" TargetMode = "External"/><Relationship Id="rId20" Type="http://schemas.openxmlformats.org/officeDocument/2006/relationships/hyperlink" Target="https://login.consultant.ru/link/?req=doc&amp;base=LAW&amp;n=525528&amp;dst=16889" TargetMode = "External"/><Relationship Id="rId21" Type="http://schemas.openxmlformats.org/officeDocument/2006/relationships/hyperlink" Target="https://login.consultant.ru/link/?req=doc&amp;base=LAW&amp;n=525528&amp;dst=4230" TargetMode = "External"/><Relationship Id="rId22" Type="http://schemas.openxmlformats.org/officeDocument/2006/relationships/image" Target="media/image2.png"/><Relationship Id="rId23" Type="http://schemas.openxmlformats.org/officeDocument/2006/relationships/hyperlink" Target="https://login.consultant.ru/link/?req=doc&amp;base=PBI&amp;n=355022" TargetMode = "External"/><Relationship Id="rId24" Type="http://schemas.openxmlformats.org/officeDocument/2006/relationships/hyperlink" Target="https://login.consultant.ru/link/?req=doc&amp;base=LAW&amp;n=495617&amp;dst=97" TargetMode = "External"/><Relationship Id="rId25" Type="http://schemas.openxmlformats.org/officeDocument/2006/relationships/hyperlink" Target="https://login.consultant.ru/link/?req=doc&amp;base=PBI&amp;n=255413&amp;dst=100072" TargetMode = "External"/><Relationship Id="rId26" Type="http://schemas.openxmlformats.org/officeDocument/2006/relationships/hyperlink" Target="https://login.consultant.ru/link/?req=doc&amp;base=MLAW&amp;n=438545&amp;dst=56" TargetMode = "External"/><Relationship Id="rId27" Type="http://schemas.openxmlformats.org/officeDocument/2006/relationships/hyperlink" Target="https://login.consultant.ru/link/?req=doc&amp;base=LAW&amp;n=454055&amp;dst=100076" TargetMode = "External"/><Relationship Id="rId28" Type="http://schemas.openxmlformats.org/officeDocument/2006/relationships/hyperlink" Target="https://login.consultant.ru/link/?req=doc&amp;base=LAW&amp;n=525528&amp;dst=26190" TargetMode = "External"/><Relationship Id="rId29" Type="http://schemas.openxmlformats.org/officeDocument/2006/relationships/hyperlink" Target="https://login.consultant.ru/link/?req=doc&amp;base=PBI&amp;n=332836&amp;dst=100089" TargetMode = "External"/><Relationship Id="rId30" Type="http://schemas.openxmlformats.org/officeDocument/2006/relationships/hyperlink" Target="https://login.consultant.ru/link/?req=doc&amp;base=LAW&amp;n=525528&amp;dst=26175" TargetMode = "External"/><Relationship Id="rId31" Type="http://schemas.openxmlformats.org/officeDocument/2006/relationships/hyperlink" Target="https://login.consultant.ru/link/?req=doc&amp;base=LAW&amp;n=525528&amp;dst=26178" TargetMode = "External"/><Relationship Id="rId32" Type="http://schemas.openxmlformats.org/officeDocument/2006/relationships/hyperlink" Target="https://login.consultant.ru/link/?req=doc&amp;base=PBI&amp;n=332836&amp;dst=100109" TargetMode = "External"/><Relationship Id="rId33" Type="http://schemas.openxmlformats.org/officeDocument/2006/relationships/hyperlink" Target="https://login.consultant.ru/link/?req=doc&amp;base=PBI&amp;n=356493" TargetMode = "External"/><Relationship Id="rId34" Type="http://schemas.openxmlformats.org/officeDocument/2006/relationships/hyperlink" Target="https://login.consultant.ru/link/?req=doc&amp;base=PBI&amp;n=250248&amp;dst=100016" TargetMode = "External"/><Relationship Id="rId35" Type="http://schemas.openxmlformats.org/officeDocument/2006/relationships/hyperlink" Target="https://login.consultant.ru/link/?req=doc&amp;base=PBI&amp;n=248319" TargetMode = "External"/><Relationship Id="rId36" Type="http://schemas.openxmlformats.org/officeDocument/2006/relationships/hyperlink" Target="https://login.consultant.ru/link/?req=doc&amp;base=PBI&amp;n=247276" TargetMode = "External"/><Relationship Id="rId37" Type="http://schemas.openxmlformats.org/officeDocument/2006/relationships/hyperlink" Target="https://login.consultant.ru/link/?req=doc&amp;base=PBI&amp;n=35641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Какие налоговые льготы предусмотрены для поддержки малого предпринимательства
(КонсультантПлюс, 2026)</dc:title>
  <dcterms:created xsi:type="dcterms:W3CDTF">2026-02-12T08:05:19Z</dcterms:created>
</cp:coreProperties>
</file>