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4820DC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4820DC">
        <w:rPr>
          <w:sz w:val="27"/>
          <w:szCs w:val="27"/>
        </w:rPr>
        <w:t>5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96E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820DC" w:rsidRPr="004820DC">
        <w:rPr>
          <w:bCs/>
          <w:sz w:val="27"/>
          <w:szCs w:val="27"/>
        </w:rPr>
        <w:t>Об определении специальных мест для размещения агитационных материалов и организации встреч кандидатов на должность Губернатора Ленинградской области Ленинградской области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4E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4820DC" w:rsidRPr="004820DC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со ст. 53, п. 7, 8, 10 ст. 54 Федерального закона от 12.06.2002 года № 67-ФЗ «Об основных гарантиях избирательных прав и права на участие в референдуме граждан Российской Федерации»; ч.2 ст. 5 областного закона Ленинградской области от 29.06.2012 № 54-оз «О выборах Губернатора Ленинградской области», Уставом </w:t>
            </w:r>
            <w:proofErr w:type="spellStart"/>
            <w:r w:rsidR="004820DC" w:rsidRPr="004820DC">
              <w:rPr>
                <w:sz w:val="27"/>
                <w:szCs w:val="27"/>
              </w:rPr>
              <w:t>Заневского</w:t>
            </w:r>
            <w:proofErr w:type="spellEnd"/>
            <w:r w:rsidR="004820DC" w:rsidRPr="004820D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38AA" w:rsidRDefault="004338AA" w:rsidP="003E7623">
      <w:r>
        <w:separator/>
      </w:r>
    </w:p>
  </w:endnote>
  <w:endnote w:type="continuationSeparator" w:id="0">
    <w:p w:rsidR="004338AA" w:rsidRDefault="004338A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38AA" w:rsidRDefault="004338AA" w:rsidP="003E7623">
      <w:r>
        <w:separator/>
      </w:r>
    </w:p>
  </w:footnote>
  <w:footnote w:type="continuationSeparator" w:id="0">
    <w:p w:rsidR="004338AA" w:rsidRDefault="004338A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90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0C84-A007-4400-9503-96F19F91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2025-07-17T06:23:00Z</dcterms:created>
  <dcterms:modified xsi:type="dcterms:W3CDTF">2025-07-17T06:23:00Z</dcterms:modified>
</cp:coreProperties>
</file>