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53A61">
        <w:rPr>
          <w:sz w:val="27"/>
          <w:szCs w:val="27"/>
        </w:rPr>
        <w:t>9</w:t>
      </w:r>
      <w:r w:rsidR="00B8582D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53A61">
        <w:rPr>
          <w:sz w:val="27"/>
          <w:szCs w:val="27"/>
        </w:rPr>
        <w:t>1</w:t>
      </w:r>
      <w:r w:rsidR="001F55AE">
        <w:rPr>
          <w:sz w:val="27"/>
          <w:szCs w:val="27"/>
        </w:rPr>
        <w:t>8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A04AB0" w:rsidRPr="00555ED5" w:rsidRDefault="00BA5B82" w:rsidP="001F55A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8582D" w:rsidRPr="00B8582D">
        <w:rPr>
          <w:sz w:val="27"/>
          <w:szCs w:val="27"/>
        </w:rPr>
        <w:t>Об утверждении перечня налоговых расходов Заневского городского поселения Всеволожского муниципального района Ленинградской области  на 2025 год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1F55A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B8582D" w:rsidRPr="00B8582D">
              <w:rPr>
                <w:sz w:val="27"/>
                <w:szCs w:val="27"/>
              </w:rPr>
              <w:t>со статьей 174.3 Бюджетного кодекса РФ,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«Заневское городское поселение» Всеволожского муниципального района Ленинградской области от 19.04.2021 № 342 «Об утверждении Порядка формирования перечня налоговых расходов и осуществления оценки налоговых расходов в МО «Заневское городское поселение»</w:t>
            </w:r>
            <w:r w:rsidR="001221B5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869A0" w:rsidRDefault="00C869A0" w:rsidP="003E7623">
      <w:r>
        <w:separator/>
      </w:r>
    </w:p>
  </w:endnote>
  <w:endnote w:type="continuationSeparator" w:id="0">
    <w:p w:rsidR="00C869A0" w:rsidRDefault="00C869A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869A0" w:rsidRDefault="00C869A0" w:rsidP="003E7623">
      <w:r>
        <w:separator/>
      </w:r>
    </w:p>
  </w:footnote>
  <w:footnote w:type="continuationSeparator" w:id="0">
    <w:p w:rsidR="00C869A0" w:rsidRDefault="00C869A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21B5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5281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69A0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F9D1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9EBC9-5814-49EF-A3F1-508035F11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2025-07-07T11:31:00Z</dcterms:created>
  <dcterms:modified xsi:type="dcterms:W3CDTF">2025-07-24T07:48:00Z</dcterms:modified>
</cp:coreProperties>
</file>