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8227B6" w:rsidRDefault="005939FE" w:rsidP="000F1755">
      <w:pPr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5939FE">
        <w:rPr>
          <w:noProof/>
        </w:rPr>
        <w:drawing>
          <wp:inline distT="0" distB="0" distL="0" distR="0" wp14:anchorId="2162B1E2" wp14:editId="662FA1F9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8FD">
        <w:rPr>
          <w:rFonts w:ascii="Times New Roman" w:hAnsi="Times New Roman"/>
          <w:b/>
          <w:sz w:val="24"/>
          <w:szCs w:val="24"/>
        </w:rPr>
        <w:t xml:space="preserve">    </w:t>
      </w:r>
      <w:r w:rsidR="009228FD" w:rsidRPr="008227B6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</w:t>
      </w:r>
    </w:p>
    <w:p w:rsidR="00A87E5D" w:rsidRPr="00264C88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64C88">
        <w:rPr>
          <w:rFonts w:ascii="Times New Roman" w:hAnsi="Times New Roman"/>
          <w:b/>
          <w:sz w:val="24"/>
          <w:szCs w:val="24"/>
        </w:rPr>
        <w:t>ГОРОДСКОЕ</w:t>
      </w:r>
      <w:r w:rsidRPr="00264C88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64C88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264C88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264C88">
        <w:rPr>
          <w:rFonts w:ascii="Times New Roman" w:hAnsi="Times New Roman"/>
          <w:b/>
          <w:sz w:val="24"/>
          <w:szCs w:val="24"/>
        </w:rPr>
        <w:t>ТРЕТЬЕГО</w:t>
      </w:r>
      <w:r w:rsidR="00BA3696" w:rsidRPr="00264C88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264C88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64C88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264C88" w:rsidRDefault="00A87E5D">
      <w:pPr>
        <w:rPr>
          <w:sz w:val="28"/>
          <w:szCs w:val="28"/>
        </w:rPr>
      </w:pPr>
    </w:p>
    <w:p w:rsidR="003718BD" w:rsidRPr="00264C88" w:rsidRDefault="0055582D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21.11.2017 года</w:t>
      </w:r>
      <w:r w:rsidR="003718BD" w:rsidRPr="00264C8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264C88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264C88">
        <w:rPr>
          <w:rFonts w:ascii="Times New Roman" w:hAnsi="Times New Roman"/>
          <w:sz w:val="28"/>
          <w:szCs w:val="28"/>
        </w:rPr>
        <w:t xml:space="preserve"> </w:t>
      </w:r>
      <w:r w:rsidR="003718BD" w:rsidRPr="00264C88">
        <w:rPr>
          <w:rFonts w:ascii="Times New Roman" w:hAnsi="Times New Roman"/>
          <w:sz w:val="28"/>
          <w:szCs w:val="28"/>
        </w:rPr>
        <w:t>№</w:t>
      </w:r>
      <w:r w:rsidR="00493EB4" w:rsidRPr="0026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57</w:t>
      </w:r>
    </w:p>
    <w:p w:rsidR="003718BD" w:rsidRPr="00264C88" w:rsidRDefault="00F01E40" w:rsidP="00D23A31">
      <w:pPr>
        <w:ind w:firstLine="0"/>
        <w:rPr>
          <w:rFonts w:ascii="Times New Roman" w:hAnsi="Times New Roman"/>
        </w:rPr>
      </w:pPr>
      <w:r w:rsidRPr="00264C88">
        <w:rPr>
          <w:rFonts w:ascii="Times New Roman" w:hAnsi="Times New Roman"/>
        </w:rPr>
        <w:t>г.</w:t>
      </w:r>
      <w:r w:rsidR="00114F11" w:rsidRPr="00264C88">
        <w:rPr>
          <w:rFonts w:ascii="Times New Roman" w:hAnsi="Times New Roman"/>
        </w:rPr>
        <w:t>п</w:t>
      </w:r>
      <w:proofErr w:type="gramStart"/>
      <w:r w:rsidR="00114F11" w:rsidRPr="00264C88">
        <w:rPr>
          <w:rFonts w:ascii="Times New Roman" w:hAnsi="Times New Roman"/>
        </w:rPr>
        <w:t>.Я</w:t>
      </w:r>
      <w:proofErr w:type="gramEnd"/>
      <w:r w:rsidR="00114F11" w:rsidRPr="00264C88">
        <w:rPr>
          <w:rFonts w:ascii="Times New Roman" w:hAnsi="Times New Roman"/>
        </w:rPr>
        <w:t>нино-1</w:t>
      </w:r>
    </w:p>
    <w:p w:rsidR="005479F5" w:rsidRPr="00264C88" w:rsidRDefault="00FF11D1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5479F5" w:rsidRPr="00264C88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Об установлении налога на имущество </w:t>
      </w:r>
    </w:p>
    <w:p w:rsidR="005479F5" w:rsidRPr="00264C88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физических лиц на территории МО </w:t>
      </w:r>
    </w:p>
    <w:p w:rsidR="005326B0" w:rsidRPr="00264C88" w:rsidRDefault="005479F5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«Заневское городское поселение на 2018 год</w:t>
      </w:r>
      <w:r w:rsidRPr="00264C88">
        <w:rPr>
          <w:rFonts w:ascii="Times New Roman" w:hAnsi="Times New Roman"/>
          <w:b/>
          <w:sz w:val="28"/>
          <w:szCs w:val="28"/>
        </w:rPr>
        <w:t>.</w:t>
      </w:r>
      <w:r w:rsidR="00FF11D1" w:rsidRPr="00264C8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E54EA" w:rsidRPr="00264C88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264C8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264C88">
        <w:rPr>
          <w:rFonts w:ascii="Times New Roman" w:hAnsi="Times New Roman"/>
          <w:b/>
          <w:sz w:val="28"/>
          <w:szCs w:val="28"/>
        </w:rPr>
        <w:t xml:space="preserve">  </w:t>
      </w:r>
    </w:p>
    <w:p w:rsidR="00F84DCA" w:rsidRPr="00264C88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rPr>
          <w:rFonts w:ascii="Times New Roman" w:hAnsi="Times New Roman"/>
          <w:sz w:val="28"/>
          <w:szCs w:val="28"/>
        </w:rPr>
      </w:pPr>
      <w:proofErr w:type="gramStart"/>
      <w:r w:rsidRPr="00264C8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F01E40" w:rsidRPr="00264C88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5 главы 1,  главой 32 Налогового</w:t>
      </w:r>
      <w:r w:rsidR="00F01E40" w:rsidRPr="00264C88">
        <w:rPr>
          <w:rFonts w:ascii="Times New Roman" w:hAnsi="Times New Roman"/>
          <w:sz w:val="28"/>
          <w:szCs w:val="28"/>
        </w:rPr>
        <w:t xml:space="preserve"> кодекса Российской Федерации, з</w:t>
      </w:r>
      <w:r w:rsidRPr="00264C88">
        <w:rPr>
          <w:rFonts w:ascii="Times New Roman" w:hAnsi="Times New Roman"/>
          <w:sz w:val="28"/>
          <w:szCs w:val="28"/>
        </w:rPr>
        <w:t>аконом Ленинградской области от  29.10.2015  №</w:t>
      </w:r>
      <w:r w:rsidR="00F01E40" w:rsidRPr="00264C88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объекта налогообложения», руководствуясь ус</w:t>
      </w:r>
      <w:r w:rsidR="00E3393A" w:rsidRPr="00264C88">
        <w:rPr>
          <w:rFonts w:ascii="Times New Roman" w:hAnsi="Times New Roman"/>
          <w:sz w:val="28"/>
          <w:szCs w:val="28"/>
        </w:rPr>
        <w:t>тавом</w:t>
      </w:r>
      <w:proofErr w:type="gramEnd"/>
      <w:r w:rsidR="00E3393A" w:rsidRPr="00264C88">
        <w:rPr>
          <w:rFonts w:ascii="Times New Roman" w:hAnsi="Times New Roman"/>
          <w:sz w:val="28"/>
          <w:szCs w:val="28"/>
        </w:rPr>
        <w:t xml:space="preserve"> МО </w:t>
      </w:r>
      <w:r w:rsidRPr="00264C88">
        <w:rPr>
          <w:rFonts w:ascii="Times New Roman" w:hAnsi="Times New Roman"/>
          <w:sz w:val="28"/>
          <w:szCs w:val="28"/>
        </w:rPr>
        <w:t xml:space="preserve">  «Заневское городское посе</w:t>
      </w:r>
      <w:r w:rsidR="00F01E40" w:rsidRPr="00264C88">
        <w:rPr>
          <w:rFonts w:ascii="Times New Roman" w:hAnsi="Times New Roman"/>
          <w:sz w:val="28"/>
          <w:szCs w:val="28"/>
        </w:rPr>
        <w:t>ление»</w:t>
      </w:r>
      <w:r w:rsidRPr="00264C88">
        <w:rPr>
          <w:rFonts w:ascii="Times New Roman" w:hAnsi="Times New Roman"/>
          <w:sz w:val="28"/>
          <w:szCs w:val="28"/>
        </w:rPr>
        <w:t>, совет депутатов принял</w:t>
      </w:r>
    </w:p>
    <w:p w:rsidR="00F84DCA" w:rsidRPr="00264C88" w:rsidRDefault="00F84DCA" w:rsidP="00F84DCA">
      <w:pPr>
        <w:ind w:firstLine="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РЕШЕНИЕ:</w:t>
      </w:r>
    </w:p>
    <w:p w:rsidR="00F84DCA" w:rsidRPr="00264C88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ab/>
        <w:t>1. Установить и ввести в действие с 1 января 2018 года на территории муниципального образования «Заневское городское поселение» Всеволожского муниципального района Ленинградской области налог на имущество физических лиц (далее – налог) согласно приложению.</w:t>
      </w:r>
    </w:p>
    <w:p w:rsidR="00F84DCA" w:rsidRPr="00264C88" w:rsidRDefault="00F84DCA" w:rsidP="00F84DCA">
      <w:pPr>
        <w:ind w:firstLine="36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ab/>
        <w:t>2</w:t>
      </w:r>
      <w:r w:rsidRPr="00264C88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официальных средствах массовой информации.</w:t>
      </w:r>
    </w:p>
    <w:p w:rsidR="00F84DCA" w:rsidRPr="00264C88" w:rsidRDefault="00F01E40" w:rsidP="00F84DCA">
      <w:pPr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hAnsi="Times New Roman"/>
          <w:color w:val="000000"/>
          <w:sz w:val="28"/>
          <w:szCs w:val="28"/>
        </w:rPr>
        <w:t>3. Р</w:t>
      </w:r>
      <w:r w:rsidR="00F84DCA" w:rsidRPr="00264C88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</w:t>
      </w:r>
      <w:r w:rsidR="00F84DCA" w:rsidRPr="00264C88">
        <w:rPr>
          <w:rFonts w:ascii="Times New Roman" w:eastAsia="Calibri" w:hAnsi="Times New Roman"/>
          <w:sz w:val="28"/>
          <w:szCs w:val="28"/>
        </w:rPr>
        <w:t>по истечении одног</w:t>
      </w:r>
      <w:r w:rsidR="00E3393A" w:rsidRPr="00264C88">
        <w:rPr>
          <w:rFonts w:ascii="Times New Roman" w:eastAsia="Calibri" w:hAnsi="Times New Roman"/>
          <w:sz w:val="28"/>
          <w:szCs w:val="28"/>
        </w:rPr>
        <w:t xml:space="preserve">о месяца со дня его </w:t>
      </w:r>
      <w:r w:rsidR="00F84DCA" w:rsidRPr="00264C88">
        <w:rPr>
          <w:rFonts w:ascii="Times New Roman" w:eastAsia="Calibri" w:hAnsi="Times New Roman"/>
          <w:sz w:val="28"/>
          <w:szCs w:val="28"/>
        </w:rPr>
        <w:t xml:space="preserve"> опубликования, но не ранее 1 января 2018 года.</w:t>
      </w:r>
    </w:p>
    <w:p w:rsidR="00F84DCA" w:rsidRPr="00264C88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  <w:r w:rsidRPr="00264C88">
        <w:rPr>
          <w:rFonts w:ascii="Times New Roman" w:hAnsi="Times New Roman"/>
          <w:color w:val="000000"/>
          <w:sz w:val="28"/>
          <w:szCs w:val="28"/>
        </w:rPr>
        <w:t>4</w:t>
      </w:r>
      <w:r w:rsidR="00F01E40" w:rsidRPr="00264C88">
        <w:rPr>
          <w:rFonts w:ascii="Times New Roman" w:hAnsi="Times New Roman"/>
          <w:color w:val="000000"/>
          <w:sz w:val="28"/>
          <w:szCs w:val="28"/>
        </w:rPr>
        <w:t xml:space="preserve">. Администрации </w:t>
      </w:r>
      <w:r w:rsidR="00E3393A" w:rsidRPr="00264C88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01E40" w:rsidRPr="00264C88">
        <w:rPr>
          <w:rFonts w:ascii="Times New Roman" w:hAnsi="Times New Roman"/>
          <w:color w:val="000000"/>
          <w:sz w:val="28"/>
          <w:szCs w:val="28"/>
        </w:rPr>
        <w:t xml:space="preserve">направить 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393A" w:rsidRPr="00264C88">
        <w:rPr>
          <w:rFonts w:ascii="Times New Roman" w:hAnsi="Times New Roman"/>
          <w:color w:val="000000"/>
          <w:sz w:val="28"/>
          <w:szCs w:val="28"/>
        </w:rPr>
        <w:t>копию решения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в налоговый орган Всеволожского  района Ленинградской области.</w:t>
      </w:r>
    </w:p>
    <w:p w:rsidR="00F84DCA" w:rsidRPr="00264C88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  <w:r w:rsidRPr="00264C88">
        <w:rPr>
          <w:rFonts w:ascii="Times New Roman" w:hAnsi="Times New Roman"/>
          <w:color w:val="000000"/>
          <w:sz w:val="28"/>
          <w:szCs w:val="28"/>
        </w:rPr>
        <w:t>5</w:t>
      </w:r>
      <w:r w:rsidR="00DF4AC5" w:rsidRPr="00264C88">
        <w:rPr>
          <w:rFonts w:ascii="Times New Roman" w:hAnsi="Times New Roman"/>
          <w:color w:val="000000"/>
          <w:sz w:val="28"/>
          <w:szCs w:val="28"/>
        </w:rPr>
        <w:t>. Контроль над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</w:t>
      </w:r>
      <w:r w:rsidR="00E22EFB" w:rsidRPr="00264C88">
        <w:rPr>
          <w:rFonts w:ascii="Times New Roman" w:hAnsi="Times New Roman"/>
          <w:color w:val="000000"/>
          <w:sz w:val="28"/>
          <w:szCs w:val="28"/>
        </w:rPr>
        <w:t xml:space="preserve"> постоянно действующую 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EFB" w:rsidRPr="00264C88">
        <w:rPr>
          <w:rFonts w:ascii="Times New Roman" w:hAnsi="Times New Roman"/>
          <w:color w:val="000000"/>
          <w:sz w:val="28"/>
          <w:szCs w:val="28"/>
        </w:rPr>
        <w:t xml:space="preserve">депутатскую </w:t>
      </w:r>
      <w:r w:rsidRPr="00264C88">
        <w:rPr>
          <w:rFonts w:ascii="Times New Roman" w:hAnsi="Times New Roman"/>
          <w:color w:val="000000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F84DCA" w:rsidRPr="00264C88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</w:p>
    <w:p w:rsidR="008227B6" w:rsidRPr="00264C88" w:rsidRDefault="008227B6" w:rsidP="00F84DCA">
      <w:pPr>
        <w:ind w:firstLine="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 w:rsidRPr="00264C88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F84DCA" w:rsidRPr="00264C88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DF4AC5" w:rsidRPr="00264C88" w:rsidRDefault="00F84DCA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64C8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               </w:t>
      </w:r>
    </w:p>
    <w:p w:rsidR="00AC3920" w:rsidRPr="00264C88" w:rsidRDefault="00AC3920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64C88" w:rsidRDefault="00F84DCA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64C8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</w:p>
    <w:p w:rsidR="00264C88" w:rsidRDefault="00264C88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64C88" w:rsidRDefault="00264C88" w:rsidP="00F84DCA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64C88" w:rsidRDefault="00F84DCA" w:rsidP="00264C88">
      <w:pPr>
        <w:shd w:val="clear" w:color="auto" w:fill="FFFFFF"/>
        <w:jc w:val="right"/>
        <w:rPr>
          <w:rFonts w:ascii="Times New Roman" w:hAnsi="Times New Roman"/>
          <w:color w:val="000000"/>
          <w:spacing w:val="-1"/>
        </w:rPr>
      </w:pPr>
      <w:r w:rsidRPr="00264C88">
        <w:rPr>
          <w:rFonts w:ascii="Times New Roman" w:hAnsi="Times New Roman"/>
          <w:color w:val="000000"/>
          <w:spacing w:val="-1"/>
        </w:rPr>
        <w:lastRenderedPageBreak/>
        <w:t xml:space="preserve">Приложение </w:t>
      </w:r>
      <w:r w:rsidR="00264C88" w:rsidRPr="00264C88">
        <w:rPr>
          <w:rFonts w:ascii="Times New Roman" w:hAnsi="Times New Roman"/>
          <w:color w:val="000000"/>
          <w:spacing w:val="-1"/>
        </w:rPr>
        <w:t xml:space="preserve">к решению </w:t>
      </w:r>
      <w:r w:rsidR="00264C88">
        <w:rPr>
          <w:rFonts w:ascii="Times New Roman" w:hAnsi="Times New Roman"/>
          <w:color w:val="000000"/>
          <w:spacing w:val="-1"/>
        </w:rPr>
        <w:t xml:space="preserve">  </w:t>
      </w:r>
      <w:r w:rsidRPr="00264C88">
        <w:rPr>
          <w:rFonts w:ascii="Times New Roman" w:hAnsi="Times New Roman"/>
          <w:color w:val="000000"/>
          <w:spacing w:val="-1"/>
        </w:rPr>
        <w:t xml:space="preserve">  </w:t>
      </w:r>
    </w:p>
    <w:p w:rsidR="00F84DCA" w:rsidRPr="00264C88" w:rsidRDefault="007D1FDA" w:rsidP="00264C88">
      <w:pPr>
        <w:shd w:val="clear" w:color="auto" w:fill="FFFFFF"/>
        <w:jc w:val="righ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от  21.11.2017 года</w:t>
      </w:r>
      <w:r w:rsidR="00F84DCA" w:rsidRPr="00264C88">
        <w:rPr>
          <w:rFonts w:ascii="Times New Roman" w:hAnsi="Times New Roman"/>
          <w:b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№  57</w:t>
      </w:r>
      <w:bookmarkStart w:id="0" w:name="_GoBack"/>
      <w:bookmarkEnd w:id="0"/>
    </w:p>
    <w:p w:rsidR="00F84DCA" w:rsidRPr="00264C88" w:rsidRDefault="00F84DCA" w:rsidP="00F84DCA">
      <w:pPr>
        <w:shd w:val="clear" w:color="auto" w:fill="FFFFFF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1. Общие  положения</w:t>
      </w:r>
    </w:p>
    <w:p w:rsidR="00F84DCA" w:rsidRPr="00264C88" w:rsidRDefault="00F84DCA" w:rsidP="00F84DCA">
      <w:pPr>
        <w:ind w:left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Налогоплательщиками налога признаются физические лица, обладающие правом собственности на имущество, признаваемого объектом налогообложения в соответствии со статьей 401 Налогового кодекса Российской Федерации и разделом 2 настоящего решения.</w:t>
      </w:r>
    </w:p>
    <w:p w:rsidR="00F84DCA" w:rsidRPr="00264C88" w:rsidRDefault="00F84DCA" w:rsidP="00F84DCA">
      <w:pPr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2. Объект налогообложения</w:t>
      </w:r>
    </w:p>
    <w:p w:rsidR="00F84DCA" w:rsidRPr="00264C88" w:rsidRDefault="00F84DCA" w:rsidP="00F84DC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2.1. Объектом налогообложения признается расположенное в пределах муниципального образования «Заневское городское поселение» Всеволожского муниципального района Ленинградской области следующее имущество: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1)  жилой дом; 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2)  жилое помещение (квартира, комната);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3) гараж, </w:t>
      </w:r>
      <w:proofErr w:type="spellStart"/>
      <w:r w:rsidRPr="00264C88">
        <w:rPr>
          <w:rFonts w:ascii="Times New Roman" w:hAnsi="Times New Roman"/>
          <w:sz w:val="28"/>
          <w:szCs w:val="28"/>
        </w:rPr>
        <w:t>машино</w:t>
      </w:r>
      <w:proofErr w:type="spellEnd"/>
      <w:r w:rsidRPr="00264C88">
        <w:rPr>
          <w:rFonts w:ascii="Times New Roman" w:hAnsi="Times New Roman"/>
          <w:sz w:val="28"/>
          <w:szCs w:val="28"/>
        </w:rPr>
        <w:t>-место;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4) единый недвижимый комплекс;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5) объект незавершенного строительства;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6) иное здание, строение, сооружение, помещение.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2.2.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2.3. Не признается объектом налогообложения имущество, входящее в состав общего имущества многоквартирного дома.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 xml:space="preserve">                                                 3. Налоговая база</w:t>
      </w:r>
    </w:p>
    <w:p w:rsidR="00F84DCA" w:rsidRPr="00264C88" w:rsidRDefault="00F84DCA" w:rsidP="00F84DCA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Налоговая база в отношении объектов налогообложения определяется исходя из кадастровой стоимости объекта налогообложения.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4. Порядок определения налоговой базы исходя из кадастровой стоимости объектов налогообложения</w:t>
      </w:r>
    </w:p>
    <w:p w:rsidR="00F84DCA" w:rsidRPr="00264C88" w:rsidRDefault="00F84DCA" w:rsidP="00F84DCA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4.1.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являющимся налоговым периодом, с учетом особенностей, предусмотренных статьей 403 Налогового кодекса Российской Федерации.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4.2. Налоговая база  в отношении квартиры определяется как её кадастровая стоимость, уменьшенная на величину кадастровой стоимости 20 квадратных метров общей площади этой квартиры.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4.3. Налоговая база  в отношении комнаты определяется как её кадастровая стоимость, уменьшенная на величину кадастровой стоимости 10 квадратных </w:t>
      </w:r>
      <w:r w:rsidRPr="00264C88">
        <w:rPr>
          <w:rFonts w:ascii="Times New Roman" w:hAnsi="Times New Roman"/>
          <w:sz w:val="28"/>
          <w:szCs w:val="28"/>
        </w:rPr>
        <w:lastRenderedPageBreak/>
        <w:t>метров  площади этой комнаты.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4.4. Налоговая база 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4.5. Налоговая база 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4.6. В случае</w:t>
      </w:r>
      <w:proofErr w:type="gramStart"/>
      <w:r w:rsidRPr="00264C88">
        <w:rPr>
          <w:rFonts w:ascii="Times New Roman" w:hAnsi="Times New Roman"/>
          <w:sz w:val="28"/>
          <w:szCs w:val="28"/>
        </w:rPr>
        <w:t>,</w:t>
      </w:r>
      <w:proofErr w:type="gramEnd"/>
      <w:r w:rsidRPr="00264C88">
        <w:rPr>
          <w:rFonts w:ascii="Times New Roman" w:hAnsi="Times New Roman"/>
          <w:sz w:val="28"/>
          <w:szCs w:val="28"/>
        </w:rPr>
        <w:t xml:space="preserve">  если при применении налоговых вычетов, предусмотренных пунктами 4.2 - 4.5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F84DCA" w:rsidRPr="00264C88" w:rsidRDefault="00F84DCA" w:rsidP="00F84DCA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5. Налоговый период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left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Налоговым периодом признается календарный год.</w:t>
      </w:r>
    </w:p>
    <w:p w:rsidR="00F84DCA" w:rsidRPr="00264C88" w:rsidRDefault="00F84DCA" w:rsidP="00F84DCA">
      <w:pPr>
        <w:jc w:val="center"/>
        <w:rPr>
          <w:rFonts w:ascii="Times New Roman" w:hAnsi="Times New Roman"/>
          <w:sz w:val="28"/>
          <w:szCs w:val="28"/>
        </w:rPr>
      </w:pPr>
    </w:p>
    <w:p w:rsidR="00F84DCA" w:rsidRPr="00264C88" w:rsidRDefault="00EF66AE" w:rsidP="00EF66AE">
      <w:pPr>
        <w:ind w:left="1080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64C88">
        <w:rPr>
          <w:rFonts w:ascii="Times New Roman" w:hAnsi="Times New Roman"/>
          <w:b/>
          <w:sz w:val="28"/>
          <w:szCs w:val="28"/>
        </w:rPr>
        <w:t xml:space="preserve">    </w:t>
      </w:r>
      <w:r w:rsidRPr="00264C88">
        <w:rPr>
          <w:rFonts w:ascii="Times New Roman" w:hAnsi="Times New Roman"/>
          <w:b/>
          <w:sz w:val="28"/>
          <w:szCs w:val="28"/>
        </w:rPr>
        <w:t xml:space="preserve"> </w:t>
      </w:r>
      <w:r w:rsidR="00F84DCA" w:rsidRPr="00264C88">
        <w:rPr>
          <w:rFonts w:ascii="Times New Roman" w:hAnsi="Times New Roman"/>
          <w:b/>
          <w:sz w:val="28"/>
          <w:szCs w:val="28"/>
        </w:rPr>
        <w:t>6. Налоговые ставки</w:t>
      </w:r>
    </w:p>
    <w:p w:rsidR="00F84DCA" w:rsidRPr="00264C88" w:rsidRDefault="00F84DCA" w:rsidP="00F84DCA">
      <w:pPr>
        <w:ind w:left="360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   На территории муниципального образования «Заневское городское поселение» устанавливаются следующие ставки </w:t>
      </w:r>
      <w:proofErr w:type="gramStart"/>
      <w:r w:rsidRPr="00264C88">
        <w:rPr>
          <w:rFonts w:ascii="Times New Roman" w:hAnsi="Times New Roman"/>
          <w:sz w:val="28"/>
          <w:szCs w:val="28"/>
        </w:rPr>
        <w:t>налога</w:t>
      </w:r>
      <w:proofErr w:type="gramEnd"/>
      <w:r w:rsidRPr="00264C88">
        <w:rPr>
          <w:rFonts w:ascii="Times New Roman" w:hAnsi="Times New Roman"/>
          <w:sz w:val="28"/>
          <w:szCs w:val="28"/>
        </w:rPr>
        <w:t xml:space="preserve"> на имущество физических лиц исходя из кадастровой стоимости налогообложения:</w:t>
      </w:r>
    </w:p>
    <w:p w:rsidR="00F84DCA" w:rsidRPr="00264C88" w:rsidRDefault="00F84DCA" w:rsidP="00F84DCA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eastAsia="Calibri" w:hAnsi="Times New Roman"/>
          <w:sz w:val="28"/>
          <w:szCs w:val="28"/>
        </w:rPr>
        <w:t>1) 0,1 процента в отношении:</w:t>
      </w:r>
    </w:p>
    <w:p w:rsidR="00F84DCA" w:rsidRPr="00264C88" w:rsidRDefault="00F84DCA" w:rsidP="00F84DCA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eastAsia="Calibri" w:hAnsi="Times New Roman"/>
          <w:sz w:val="28"/>
          <w:szCs w:val="28"/>
        </w:rPr>
        <w:t>жилых домов, жилых помещений;</w:t>
      </w:r>
    </w:p>
    <w:p w:rsidR="00F84DCA" w:rsidRPr="00264C88" w:rsidRDefault="00F84DCA" w:rsidP="00F84DCA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eastAsia="Calibri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84DCA" w:rsidRPr="00264C88" w:rsidRDefault="00F84DCA" w:rsidP="00F84DCA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eastAsia="Calibri" w:hAnsi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F84DCA" w:rsidRPr="00264C88" w:rsidRDefault="00F84DCA" w:rsidP="00F84DCA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eastAsia="Calibri" w:hAnsi="Times New Roman"/>
          <w:sz w:val="28"/>
          <w:szCs w:val="28"/>
        </w:rPr>
        <w:t xml:space="preserve">гаражей и </w:t>
      </w:r>
      <w:proofErr w:type="spellStart"/>
      <w:r w:rsidRPr="00264C88">
        <w:rPr>
          <w:rFonts w:ascii="Times New Roman" w:eastAsia="Calibri" w:hAnsi="Times New Roman"/>
          <w:sz w:val="28"/>
          <w:szCs w:val="28"/>
        </w:rPr>
        <w:t>машино</w:t>
      </w:r>
      <w:proofErr w:type="spellEnd"/>
      <w:r w:rsidRPr="00264C88">
        <w:rPr>
          <w:rFonts w:ascii="Times New Roman" w:eastAsia="Calibri" w:hAnsi="Times New Roman"/>
          <w:sz w:val="28"/>
          <w:szCs w:val="28"/>
        </w:rPr>
        <w:t>-мест;</w:t>
      </w:r>
    </w:p>
    <w:p w:rsidR="00F84DCA" w:rsidRPr="00264C88" w:rsidRDefault="00F84DCA" w:rsidP="00F84DCA">
      <w:pPr>
        <w:ind w:firstLine="540"/>
        <w:rPr>
          <w:rFonts w:ascii="Times New Roman" w:eastAsia="Calibri" w:hAnsi="Times New Roman"/>
          <w:sz w:val="28"/>
          <w:szCs w:val="28"/>
        </w:rPr>
      </w:pPr>
      <w:r w:rsidRPr="00264C88">
        <w:rPr>
          <w:rFonts w:ascii="Times New Roman" w:eastAsia="Calibri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84DCA" w:rsidRPr="00264C88" w:rsidRDefault="00F84DCA" w:rsidP="00F84DCA">
      <w:pPr>
        <w:pStyle w:val="ConsPlusNormal"/>
        <w:ind w:firstLine="540"/>
        <w:jc w:val="both"/>
        <w:rPr>
          <w:szCs w:val="28"/>
        </w:rPr>
      </w:pPr>
      <w:proofErr w:type="gramStart"/>
      <w:r w:rsidRPr="00264C88">
        <w:rPr>
          <w:szCs w:val="28"/>
        </w:rPr>
        <w:t xml:space="preserve">2)  2 процентов  в отношении объектов налогообложения, включенных в перечень, определяемый в соответствии с </w:t>
      </w:r>
      <w:hyperlink r:id="rId10" w:history="1">
        <w:r w:rsidRPr="00264C88">
          <w:rPr>
            <w:szCs w:val="28"/>
          </w:rPr>
          <w:t>пунктом 7 статьи 378.2</w:t>
        </w:r>
      </w:hyperlink>
      <w:r w:rsidRPr="00264C88">
        <w:rPr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 w:rsidRPr="00264C88">
          <w:rPr>
            <w:szCs w:val="28"/>
          </w:rPr>
          <w:t>абзацем вторым пункта 10 статьи 378.2</w:t>
        </w:r>
      </w:hyperlink>
      <w:r w:rsidRPr="00264C88">
        <w:rPr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F84DCA" w:rsidRPr="00264C88" w:rsidRDefault="00F84DCA" w:rsidP="00F84DCA">
      <w:pPr>
        <w:pStyle w:val="ConsPlusNormal"/>
        <w:ind w:firstLine="540"/>
        <w:jc w:val="both"/>
        <w:rPr>
          <w:szCs w:val="28"/>
        </w:rPr>
      </w:pPr>
      <w:r w:rsidRPr="00264C88">
        <w:rPr>
          <w:szCs w:val="28"/>
        </w:rPr>
        <w:t>3)  0,5 процента  в отношении прочих объектов налогообложения.</w:t>
      </w:r>
    </w:p>
    <w:p w:rsidR="00F84DCA" w:rsidRPr="00264C88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7. Налоговые льготы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7.1. Установить, что для граждан,  имеющих в собственности имущество, являющееся объектом налогообложения на территории муниципального образования «Заневское городское поселение» Всеволожского муниципального </w:t>
      </w:r>
      <w:r w:rsidRPr="00264C88">
        <w:rPr>
          <w:rFonts w:ascii="Times New Roman" w:hAnsi="Times New Roman"/>
          <w:sz w:val="28"/>
          <w:szCs w:val="28"/>
        </w:rPr>
        <w:lastRenderedPageBreak/>
        <w:t>района Ленинградской области,  льготы, установленные в соответствии со статьей 407 Налогового кодекса Российской Федерации, действуют в полном объеме.</w:t>
      </w:r>
    </w:p>
    <w:p w:rsidR="00F84DCA" w:rsidRPr="00264C88" w:rsidRDefault="00F84DCA" w:rsidP="00F84DCA">
      <w:pPr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   </w:t>
      </w: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8. Порядок исчисления суммы налога</w:t>
      </w:r>
    </w:p>
    <w:p w:rsidR="00F84DCA" w:rsidRPr="00264C88" w:rsidRDefault="00F84DCA" w:rsidP="00F84DC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F84DCA">
      <w:pPr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          Сумма налога исчисляется налоговыми органами по истечению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Федерации. </w:t>
      </w: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9. Порядок и сроки уплаты налога</w:t>
      </w:r>
    </w:p>
    <w:p w:rsidR="00F84DCA" w:rsidRPr="00264C88" w:rsidRDefault="00F84DCA" w:rsidP="00F8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DCA" w:rsidRPr="00264C88" w:rsidRDefault="00F84DCA" w:rsidP="00A75BCD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9.1.Налог подлежит уплате налогоплательщиком в срок не позднее 01 декабря  года, следующего за истекшим налоговым периодом.</w:t>
      </w:r>
    </w:p>
    <w:p w:rsidR="00F84DCA" w:rsidRPr="00264C88" w:rsidRDefault="00F84DCA" w:rsidP="00F84DCA">
      <w:pPr>
        <w:ind w:firstLine="36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9.2.Налог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 </w:t>
      </w:r>
    </w:p>
    <w:p w:rsidR="00F84DCA" w:rsidRPr="00264C88" w:rsidRDefault="00F84DCA" w:rsidP="00A75BCD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     9.3. Направление налогового уведомления допускается не более чем за три налоговых периода, предшествующим календарному году его направления.</w:t>
      </w:r>
    </w:p>
    <w:p w:rsidR="00F84DCA" w:rsidRPr="00264C88" w:rsidRDefault="00F84DCA" w:rsidP="00A75BCD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 xml:space="preserve">      9.4.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84DCA" w:rsidRPr="008227B6" w:rsidRDefault="00F84DCA" w:rsidP="00F84DCA">
      <w:pPr>
        <w:ind w:firstLine="360"/>
        <w:rPr>
          <w:rFonts w:ascii="Times New Roman" w:hAnsi="Times New Roman"/>
          <w:sz w:val="22"/>
          <w:szCs w:val="22"/>
        </w:rPr>
      </w:pPr>
    </w:p>
    <w:p w:rsidR="00F84DCA" w:rsidRPr="00F84DCA" w:rsidRDefault="00F84DCA" w:rsidP="00F84DCA">
      <w:pPr>
        <w:rPr>
          <w:rFonts w:ascii="Times New Roman" w:hAnsi="Times New Roman"/>
          <w:sz w:val="28"/>
          <w:szCs w:val="28"/>
        </w:rPr>
      </w:pPr>
    </w:p>
    <w:p w:rsidR="00F84DCA" w:rsidRPr="00F84DCA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</w:p>
    <w:p w:rsidR="00F84DCA" w:rsidRPr="00F84DCA" w:rsidRDefault="00F84DCA" w:rsidP="00F84DCA">
      <w:pPr>
        <w:rPr>
          <w:rFonts w:ascii="Times New Roman" w:hAnsi="Times New Roman"/>
          <w:color w:val="000000"/>
          <w:sz w:val="28"/>
          <w:szCs w:val="28"/>
        </w:rPr>
      </w:pPr>
      <w:r w:rsidRPr="00F84D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</w:p>
    <w:p w:rsidR="00F84DCA" w:rsidRP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  <w:r w:rsidRPr="00F84DCA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p w:rsidR="00F84DCA" w:rsidRP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sectPr w:rsidR="00F84DCA" w:rsidRPr="00F84DCA" w:rsidSect="00575E93">
      <w:headerReference w:type="default" r:id="rId12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76" w:rsidRDefault="00603076" w:rsidP="006657B8">
      <w:r>
        <w:separator/>
      </w:r>
    </w:p>
  </w:endnote>
  <w:endnote w:type="continuationSeparator" w:id="0">
    <w:p w:rsidR="00603076" w:rsidRDefault="0060307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76" w:rsidRDefault="00603076" w:rsidP="006657B8">
      <w:r>
        <w:separator/>
      </w:r>
    </w:p>
  </w:footnote>
  <w:footnote w:type="continuationSeparator" w:id="0">
    <w:p w:rsidR="00603076" w:rsidRDefault="0060307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E8772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FDA">
      <w:rPr>
        <w:noProof/>
      </w:rPr>
      <w:t>3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531B3"/>
    <w:rsid w:val="00060445"/>
    <w:rsid w:val="0008036A"/>
    <w:rsid w:val="000857CF"/>
    <w:rsid w:val="00097717"/>
    <w:rsid w:val="000D637D"/>
    <w:rsid w:val="000E785B"/>
    <w:rsid w:val="000F06D3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64C88"/>
    <w:rsid w:val="00290811"/>
    <w:rsid w:val="002A161B"/>
    <w:rsid w:val="002B7880"/>
    <w:rsid w:val="002E3B8B"/>
    <w:rsid w:val="002F22A5"/>
    <w:rsid w:val="00300A00"/>
    <w:rsid w:val="00310525"/>
    <w:rsid w:val="00312078"/>
    <w:rsid w:val="00324ED5"/>
    <w:rsid w:val="003718BD"/>
    <w:rsid w:val="0038133B"/>
    <w:rsid w:val="0038721D"/>
    <w:rsid w:val="003924B0"/>
    <w:rsid w:val="003945E5"/>
    <w:rsid w:val="003B3072"/>
    <w:rsid w:val="003B48FF"/>
    <w:rsid w:val="003C6A07"/>
    <w:rsid w:val="003D0D36"/>
    <w:rsid w:val="003D12A5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7506"/>
    <w:rsid w:val="00493EB4"/>
    <w:rsid w:val="004B097D"/>
    <w:rsid w:val="004C795C"/>
    <w:rsid w:val="004D563B"/>
    <w:rsid w:val="004E0298"/>
    <w:rsid w:val="004E1680"/>
    <w:rsid w:val="004E5E62"/>
    <w:rsid w:val="004F3C6E"/>
    <w:rsid w:val="00503A05"/>
    <w:rsid w:val="00512C31"/>
    <w:rsid w:val="005326B0"/>
    <w:rsid w:val="00535769"/>
    <w:rsid w:val="00544428"/>
    <w:rsid w:val="005479F5"/>
    <w:rsid w:val="0055582D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39FE"/>
    <w:rsid w:val="005A33C0"/>
    <w:rsid w:val="005A3C85"/>
    <w:rsid w:val="005A551D"/>
    <w:rsid w:val="005F511D"/>
    <w:rsid w:val="00603076"/>
    <w:rsid w:val="00615BC4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0DC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1FDA"/>
    <w:rsid w:val="007D39FA"/>
    <w:rsid w:val="007D5A15"/>
    <w:rsid w:val="007E0516"/>
    <w:rsid w:val="007F5785"/>
    <w:rsid w:val="007F6512"/>
    <w:rsid w:val="007F7892"/>
    <w:rsid w:val="0082042B"/>
    <w:rsid w:val="008227B6"/>
    <w:rsid w:val="0082478D"/>
    <w:rsid w:val="008253F6"/>
    <w:rsid w:val="00835069"/>
    <w:rsid w:val="00837052"/>
    <w:rsid w:val="00837B57"/>
    <w:rsid w:val="00846259"/>
    <w:rsid w:val="008555F8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8F11FA"/>
    <w:rsid w:val="009228FD"/>
    <w:rsid w:val="00942857"/>
    <w:rsid w:val="009778BF"/>
    <w:rsid w:val="00977AE2"/>
    <w:rsid w:val="00983F1F"/>
    <w:rsid w:val="00990BB1"/>
    <w:rsid w:val="00997E28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60E13"/>
    <w:rsid w:val="00A6381D"/>
    <w:rsid w:val="00A64927"/>
    <w:rsid w:val="00A6579B"/>
    <w:rsid w:val="00A70D9C"/>
    <w:rsid w:val="00A7148A"/>
    <w:rsid w:val="00A7357A"/>
    <w:rsid w:val="00A75BCD"/>
    <w:rsid w:val="00A87E5D"/>
    <w:rsid w:val="00AA3165"/>
    <w:rsid w:val="00AA484F"/>
    <w:rsid w:val="00AA5BA9"/>
    <w:rsid w:val="00AB2B57"/>
    <w:rsid w:val="00AC3920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C12E6A"/>
    <w:rsid w:val="00C35FA7"/>
    <w:rsid w:val="00C458A9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26A56"/>
    <w:rsid w:val="00D302AF"/>
    <w:rsid w:val="00D31523"/>
    <w:rsid w:val="00D32B29"/>
    <w:rsid w:val="00D44D7A"/>
    <w:rsid w:val="00D455E0"/>
    <w:rsid w:val="00D64899"/>
    <w:rsid w:val="00D651CD"/>
    <w:rsid w:val="00D805C7"/>
    <w:rsid w:val="00DD6263"/>
    <w:rsid w:val="00DE311A"/>
    <w:rsid w:val="00DF4AC5"/>
    <w:rsid w:val="00DF7C11"/>
    <w:rsid w:val="00E20365"/>
    <w:rsid w:val="00E22EFB"/>
    <w:rsid w:val="00E266BC"/>
    <w:rsid w:val="00E271AF"/>
    <w:rsid w:val="00E27C8A"/>
    <w:rsid w:val="00E3393A"/>
    <w:rsid w:val="00E45512"/>
    <w:rsid w:val="00E54101"/>
    <w:rsid w:val="00E72CA6"/>
    <w:rsid w:val="00E758B7"/>
    <w:rsid w:val="00E85F35"/>
    <w:rsid w:val="00E8772F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EF6618"/>
    <w:rsid w:val="00EF66AE"/>
    <w:rsid w:val="00F01E40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847A0"/>
    <w:rsid w:val="00F84DCA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4DC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4DC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D57E46EB2579FEE874065B467E7CC0DC8A8431F026AC3AA5300D4D245261BA4A69A6723FDCM6GC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8D57E46EB2579FEE874065B467E7CC0DC8A8431F026AC3AA5300D4D245261BA4A69A6723ADBM6G1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F03DA-2031-4EB6-A58E-7892A950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19</cp:revision>
  <cp:lastPrinted>2017-11-14T06:22:00Z</cp:lastPrinted>
  <dcterms:created xsi:type="dcterms:W3CDTF">2017-11-14T07:35:00Z</dcterms:created>
  <dcterms:modified xsi:type="dcterms:W3CDTF">2017-11-22T07:32:00Z</dcterms:modified>
</cp:coreProperties>
</file>